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50" w:rsidRDefault="00850F62" w:rsidP="002063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032C1" w:rsidRPr="00440E50" w:rsidRDefault="00C27F89" w:rsidP="0020633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E50">
        <w:rPr>
          <w:rFonts w:ascii="Times New Roman" w:hAnsi="Times New Roman" w:cs="Times New Roman"/>
          <w:b/>
          <w:i/>
          <w:sz w:val="28"/>
          <w:szCs w:val="28"/>
        </w:rPr>
        <w:t xml:space="preserve">В каких случаях </w:t>
      </w:r>
      <w:r w:rsidR="000032C1" w:rsidRPr="00440E50">
        <w:rPr>
          <w:rFonts w:ascii="Times New Roman" w:hAnsi="Times New Roman" w:cs="Times New Roman"/>
          <w:b/>
          <w:i/>
          <w:sz w:val="28"/>
          <w:szCs w:val="28"/>
        </w:rPr>
        <w:t>подъемные сооружения</w:t>
      </w:r>
      <w:r w:rsidRPr="00440E50">
        <w:rPr>
          <w:rFonts w:ascii="Times New Roman" w:hAnsi="Times New Roman" w:cs="Times New Roman"/>
          <w:b/>
          <w:i/>
          <w:sz w:val="28"/>
          <w:szCs w:val="28"/>
        </w:rPr>
        <w:t xml:space="preserve"> подлежат снятию с учета?</w:t>
      </w:r>
    </w:p>
    <w:p w:rsidR="00440E50" w:rsidRPr="00440E50" w:rsidRDefault="00440E50" w:rsidP="00440E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F89" w:rsidRPr="00B52AAB" w:rsidRDefault="00C27F89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F62">
        <w:rPr>
          <w:rFonts w:ascii="Times New Roman" w:hAnsi="Times New Roman" w:cs="Times New Roman"/>
          <w:b/>
          <w:sz w:val="28"/>
          <w:szCs w:val="28"/>
        </w:rPr>
        <w:t>Ответ:</w:t>
      </w:r>
      <w:r w:rsidRPr="00850F62">
        <w:rPr>
          <w:rFonts w:ascii="Times New Roman" w:hAnsi="Times New Roman" w:cs="Times New Roman"/>
          <w:sz w:val="28"/>
          <w:szCs w:val="28"/>
        </w:rPr>
        <w:t xml:space="preserve"> </w:t>
      </w:r>
      <w:r w:rsidR="0028611A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B52AAB">
        <w:rPr>
          <w:rFonts w:ascii="Times New Roman" w:hAnsi="Times New Roman" w:cs="Times New Roman"/>
          <w:sz w:val="28"/>
          <w:szCs w:val="28"/>
        </w:rPr>
        <w:t>1</w:t>
      </w:r>
      <w:r w:rsidR="0028611A">
        <w:rPr>
          <w:rFonts w:ascii="Times New Roman" w:hAnsi="Times New Roman" w:cs="Times New Roman"/>
          <w:sz w:val="28"/>
          <w:szCs w:val="28"/>
        </w:rPr>
        <w:t>47 ФНП</w:t>
      </w:r>
      <w:r w:rsidRPr="00B52AAB">
        <w:rPr>
          <w:rFonts w:ascii="Times New Roman" w:hAnsi="Times New Roman" w:cs="Times New Roman"/>
          <w:sz w:val="28"/>
          <w:szCs w:val="28"/>
        </w:rPr>
        <w:t xml:space="preserve">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 533</w:t>
      </w:r>
      <w:r w:rsidR="00C375EA">
        <w:rPr>
          <w:rFonts w:ascii="Times New Roman" w:hAnsi="Times New Roman" w:cs="Times New Roman"/>
          <w:sz w:val="28"/>
          <w:szCs w:val="28"/>
        </w:rPr>
        <w:t>,</w:t>
      </w:r>
      <w:r w:rsidRPr="00B52AAB">
        <w:rPr>
          <w:rFonts w:ascii="Times New Roman" w:hAnsi="Times New Roman" w:cs="Times New Roman"/>
          <w:sz w:val="28"/>
          <w:szCs w:val="28"/>
        </w:rPr>
        <w:t xml:space="preserve"> ПС подлежа</w:t>
      </w:r>
      <w:r w:rsidR="0028611A">
        <w:rPr>
          <w:rFonts w:ascii="Times New Roman" w:hAnsi="Times New Roman" w:cs="Times New Roman"/>
          <w:sz w:val="28"/>
          <w:szCs w:val="28"/>
        </w:rPr>
        <w:t>т снятию с учета в территориальных органах Ростехнадзора</w:t>
      </w:r>
      <w:r w:rsidRPr="00B52AAB">
        <w:rPr>
          <w:rFonts w:ascii="Times New Roman" w:hAnsi="Times New Roman" w:cs="Times New Roman"/>
          <w:sz w:val="28"/>
          <w:szCs w:val="28"/>
        </w:rPr>
        <w:t>, осуществляющих ведение реестра ОПО, в следующих случаях:</w:t>
      </w:r>
    </w:p>
    <w:p w:rsidR="00C27F89" w:rsidRPr="00B52AAB" w:rsidRDefault="00850F62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F89" w:rsidRPr="00B52AAB">
        <w:rPr>
          <w:rFonts w:ascii="Times New Roman" w:hAnsi="Times New Roman" w:cs="Times New Roman"/>
          <w:sz w:val="28"/>
          <w:szCs w:val="28"/>
        </w:rPr>
        <w:t>- при утилизации;</w:t>
      </w:r>
    </w:p>
    <w:p w:rsidR="00C27F89" w:rsidRPr="00B52AAB" w:rsidRDefault="00850F62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F89" w:rsidRPr="00B52AAB">
        <w:rPr>
          <w:rFonts w:ascii="Times New Roman" w:hAnsi="Times New Roman" w:cs="Times New Roman"/>
          <w:sz w:val="28"/>
          <w:szCs w:val="28"/>
        </w:rPr>
        <w:t>- при передаче другому владельцу;</w:t>
      </w:r>
    </w:p>
    <w:p w:rsidR="00B52AAB" w:rsidRDefault="00850F62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F89" w:rsidRPr="00B52AAB">
        <w:rPr>
          <w:rFonts w:ascii="Times New Roman" w:hAnsi="Times New Roman" w:cs="Times New Roman"/>
          <w:sz w:val="28"/>
          <w:szCs w:val="28"/>
        </w:rPr>
        <w:t>- при переводе в разряд не подлежащих учету.</w:t>
      </w:r>
    </w:p>
    <w:p w:rsidR="0028611A" w:rsidRDefault="00C27F89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2C1" w:rsidRDefault="00850F62" w:rsidP="0020633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D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D2C3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C27F89" w:rsidRPr="004D2C3F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ли регистрировать </w:t>
      </w:r>
      <w:r w:rsidR="000032C1" w:rsidRPr="004D2C3F">
        <w:rPr>
          <w:rFonts w:ascii="Times New Roman" w:hAnsi="Times New Roman" w:cs="Times New Roman"/>
          <w:b/>
          <w:i/>
          <w:sz w:val="28"/>
          <w:szCs w:val="28"/>
        </w:rPr>
        <w:t>опасный производственный объект</w:t>
      </w:r>
      <w:r w:rsidR="00C27F89" w:rsidRPr="004D2C3F">
        <w:rPr>
          <w:rFonts w:ascii="Times New Roman" w:hAnsi="Times New Roman" w:cs="Times New Roman"/>
          <w:b/>
          <w:i/>
          <w:sz w:val="28"/>
          <w:szCs w:val="28"/>
        </w:rPr>
        <w:t xml:space="preserve">, в состав которого входят </w:t>
      </w:r>
      <w:r w:rsidR="000032C1" w:rsidRPr="004D2C3F">
        <w:rPr>
          <w:rFonts w:ascii="Times New Roman" w:hAnsi="Times New Roman" w:cs="Times New Roman"/>
          <w:b/>
          <w:i/>
          <w:sz w:val="28"/>
          <w:szCs w:val="28"/>
        </w:rPr>
        <w:t>подъемные сооружения</w:t>
      </w:r>
      <w:r w:rsidR="00C375EA" w:rsidRPr="004D2C3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27F89" w:rsidRPr="004D2C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A5C" w:rsidRPr="004D2C3F">
        <w:rPr>
          <w:rFonts w:ascii="Times New Roman" w:hAnsi="Times New Roman" w:cs="Times New Roman"/>
          <w:b/>
          <w:i/>
          <w:sz w:val="28"/>
          <w:szCs w:val="28"/>
        </w:rPr>
        <w:t>не подлежащие</w:t>
      </w:r>
      <w:r w:rsidR="00C27F89" w:rsidRPr="004D2C3F">
        <w:rPr>
          <w:rFonts w:ascii="Times New Roman" w:hAnsi="Times New Roman" w:cs="Times New Roman"/>
          <w:b/>
          <w:i/>
          <w:sz w:val="28"/>
          <w:szCs w:val="28"/>
        </w:rPr>
        <w:t xml:space="preserve"> учету?</w:t>
      </w:r>
    </w:p>
    <w:p w:rsidR="000032C1" w:rsidRDefault="00C27F89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AAB">
        <w:rPr>
          <w:rFonts w:ascii="Times New Roman" w:hAnsi="Times New Roman" w:cs="Times New Roman"/>
          <w:sz w:val="28"/>
          <w:szCs w:val="28"/>
        </w:rPr>
        <w:t xml:space="preserve">: В соответствии с п. 146 </w:t>
      </w:r>
      <w:r w:rsidR="0028611A">
        <w:rPr>
          <w:rFonts w:ascii="Times New Roman" w:hAnsi="Times New Roman" w:cs="Times New Roman"/>
          <w:sz w:val="28"/>
          <w:szCs w:val="28"/>
        </w:rPr>
        <w:t>ФНП</w:t>
      </w:r>
      <w:r w:rsidR="00C375EA" w:rsidRPr="00B52AAB">
        <w:rPr>
          <w:rFonts w:ascii="Times New Roman" w:hAnsi="Times New Roman" w:cs="Times New Roman"/>
          <w:sz w:val="28"/>
          <w:szCs w:val="28"/>
        </w:rPr>
        <w:t xml:space="preserve"> «Правила безопасности опасных производственных объектов, на которых используются подъемные сооружения», утвержденных приказом Р</w:t>
      </w:r>
      <w:r w:rsidR="00C375EA">
        <w:rPr>
          <w:rFonts w:ascii="Times New Roman" w:hAnsi="Times New Roman" w:cs="Times New Roman"/>
          <w:sz w:val="28"/>
          <w:szCs w:val="28"/>
        </w:rPr>
        <w:t xml:space="preserve">остехнадзора от 12.11.2013 № 533, </w:t>
      </w:r>
      <w:r w:rsidRPr="00B52AAB">
        <w:rPr>
          <w:rFonts w:ascii="Times New Roman" w:hAnsi="Times New Roman" w:cs="Times New Roman"/>
          <w:sz w:val="28"/>
          <w:szCs w:val="28"/>
        </w:rPr>
        <w:t xml:space="preserve"> регистрации подлежат только те ОПО, где эксплуатируются ПС, подл</w:t>
      </w:r>
      <w:r w:rsidR="0028611A">
        <w:rPr>
          <w:rFonts w:ascii="Times New Roman" w:hAnsi="Times New Roman" w:cs="Times New Roman"/>
          <w:sz w:val="28"/>
          <w:szCs w:val="28"/>
        </w:rPr>
        <w:t>ежащие учету в органах Ростехнадзора</w:t>
      </w:r>
      <w:r w:rsidRPr="00B52AAB">
        <w:rPr>
          <w:rFonts w:ascii="Times New Roman" w:hAnsi="Times New Roman" w:cs="Times New Roman"/>
          <w:sz w:val="28"/>
          <w:szCs w:val="28"/>
        </w:rPr>
        <w:t xml:space="preserve"> и иных федеральных органах исполнительной власти в области промышленной безопасности, которым в установленном порядке предоставлено право осуществления регистрации подведомственных объектов в государственном реестре опасных производственных объектов.</w:t>
      </w:r>
    </w:p>
    <w:p w:rsidR="00B52AAB" w:rsidRDefault="00B52AAB" w:rsidP="0020633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C27F89" w:rsidRPr="004D2C3F" w:rsidRDefault="004D2C3F" w:rsidP="004D2C3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C27F89" w:rsidRPr="004D2C3F">
        <w:rPr>
          <w:rFonts w:ascii="Times New Roman" w:hAnsi="Times New Roman" w:cs="Times New Roman"/>
          <w:b/>
          <w:i/>
          <w:sz w:val="28"/>
          <w:szCs w:val="28"/>
        </w:rPr>
        <w:t>Подлежит ли учету мостовой кран, грузоподъемностью 5 тонн, не имеющий кабины управления?</w:t>
      </w:r>
    </w:p>
    <w:p w:rsidR="00C27F89" w:rsidRDefault="00C27F89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AB">
        <w:rPr>
          <w:rFonts w:ascii="Times New Roman" w:hAnsi="Times New Roman" w:cs="Times New Roman"/>
          <w:b/>
          <w:sz w:val="28"/>
          <w:szCs w:val="28"/>
        </w:rPr>
        <w:t>Ответ</w:t>
      </w:r>
      <w:r w:rsidRPr="00B52AAB">
        <w:rPr>
          <w:rFonts w:ascii="Times New Roman" w:hAnsi="Times New Roman" w:cs="Times New Roman"/>
          <w:sz w:val="28"/>
          <w:szCs w:val="28"/>
        </w:rPr>
        <w:t>:</w:t>
      </w:r>
      <w:r w:rsidR="00850F62">
        <w:rPr>
          <w:rFonts w:ascii="Times New Roman" w:hAnsi="Times New Roman" w:cs="Times New Roman"/>
          <w:sz w:val="28"/>
          <w:szCs w:val="28"/>
        </w:rPr>
        <w:t xml:space="preserve"> </w:t>
      </w:r>
      <w:r w:rsidRPr="00B52AAB">
        <w:rPr>
          <w:rFonts w:ascii="Times New Roman" w:hAnsi="Times New Roman" w:cs="Times New Roman"/>
          <w:sz w:val="28"/>
          <w:szCs w:val="28"/>
        </w:rPr>
        <w:t xml:space="preserve">В соответствии с п. 148 </w:t>
      </w:r>
      <w:r w:rsidR="0028611A">
        <w:rPr>
          <w:rFonts w:ascii="Times New Roman" w:hAnsi="Times New Roman" w:cs="Times New Roman"/>
          <w:sz w:val="28"/>
          <w:szCs w:val="28"/>
        </w:rPr>
        <w:t>ФНП</w:t>
      </w:r>
      <w:r w:rsidR="00C375EA" w:rsidRPr="00B52AAB">
        <w:rPr>
          <w:rFonts w:ascii="Times New Roman" w:hAnsi="Times New Roman" w:cs="Times New Roman"/>
          <w:sz w:val="28"/>
          <w:szCs w:val="28"/>
        </w:rPr>
        <w:t xml:space="preserve">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 533</w:t>
      </w:r>
      <w:r w:rsidR="00C375EA">
        <w:rPr>
          <w:rFonts w:ascii="Times New Roman" w:hAnsi="Times New Roman" w:cs="Times New Roman"/>
          <w:sz w:val="28"/>
          <w:szCs w:val="28"/>
        </w:rPr>
        <w:t xml:space="preserve">, </w:t>
      </w:r>
      <w:r w:rsidRPr="00B52AAB">
        <w:rPr>
          <w:rFonts w:ascii="Times New Roman" w:hAnsi="Times New Roman" w:cs="Times New Roman"/>
          <w:sz w:val="28"/>
          <w:szCs w:val="28"/>
        </w:rPr>
        <w:t xml:space="preserve"> не подлежат учету краны мостового типа и консольные краны, грузоподъемностью до 10т включительно, управляемые с пола посредством кнопочного аппарата, подвешенного на кране, или со стационарного пульта, а также управляемые дистанционно по радиоканалу или иной линии связи, за исключением кранов мостового типа, имеющих кабины управления.</w:t>
      </w:r>
    </w:p>
    <w:p w:rsidR="004D2C3F" w:rsidRDefault="004D2C3F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3F" w:rsidRPr="00F46C3A" w:rsidRDefault="004D2C3F" w:rsidP="00F46C3A">
      <w:pPr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C3A">
        <w:rPr>
          <w:rFonts w:ascii="Times New Roman" w:hAnsi="Times New Roman" w:cs="Times New Roman"/>
          <w:b/>
          <w:i/>
          <w:sz w:val="28"/>
          <w:szCs w:val="28"/>
        </w:rPr>
        <w:t>4.  В организации эксплуатируются участки с ПС, не подлежащими учету в Ростехнадзоре. Прошу разъяснить,  в какой мере ФНП «Правила безопасности опасных производственных объектов, на которых используются подъемные сооружения», распространяются на эти ПС. Необходимо ли назначать ответственных специалистов, указанных в п. 23 ж), проходить аттестацию в соответствующей области, проводить техническое освидетельствование ПС и т.д., т.е. выполнять все кроме требований к постановке на учет в Ростехнадзоре и экспертизы промбезопасности?</w:t>
      </w:r>
    </w:p>
    <w:p w:rsidR="004D2C3F" w:rsidRPr="00850F62" w:rsidRDefault="004D2C3F" w:rsidP="004D2C3F">
      <w:pPr>
        <w:pStyle w:val="a3"/>
        <w:ind w:left="141" w:right="17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Согласно п.148 ФНП </w:t>
      </w:r>
      <w:r w:rsidRPr="00850F62">
        <w:rPr>
          <w:rFonts w:ascii="Times New Roman" w:hAnsi="Times New Roman" w:cs="Times New Roman"/>
          <w:sz w:val="28"/>
          <w:szCs w:val="28"/>
        </w:rPr>
        <w:t xml:space="preserve"> ответственность за обеспечение безопасной эксплуатации ПС, не подлежащих учету в федеральных органах исполнительной </w:t>
      </w:r>
      <w:r w:rsidRPr="00850F62">
        <w:rPr>
          <w:rFonts w:ascii="Times New Roman" w:hAnsi="Times New Roman" w:cs="Times New Roman"/>
          <w:sz w:val="28"/>
          <w:szCs w:val="28"/>
        </w:rPr>
        <w:lastRenderedPageBreak/>
        <w:t>власти в области промышленной безопасности, осуществляющих ведение реестра ОПО, а также назначение ответственных лиц, обеспечивающих безопасную эксплуатацию таких ПС, возлагается на организацию, эксплуатирующую эти ПС. Порядок обслуживания и допуск к обслуживанию персонала ПС, не подлежащих учету в федеральных органах исполнительной власти в области промышленной безопасности, осуществляющих ведение реестра ОПО, устанавливаются в соответствии с требованиями руководств (инструкций) по эксплуатации ПС.</w:t>
      </w:r>
    </w:p>
    <w:p w:rsidR="00B44E74" w:rsidRDefault="00B44E74" w:rsidP="002063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B5C" w:rsidRPr="00E0161C" w:rsidRDefault="002E1B5C" w:rsidP="00E016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161C">
        <w:rPr>
          <w:rFonts w:ascii="Times New Roman" w:hAnsi="Times New Roman" w:cs="Times New Roman"/>
          <w:b/>
          <w:i/>
          <w:sz w:val="28"/>
          <w:szCs w:val="28"/>
        </w:rPr>
        <w:t>Какой порядок продления срока эксплуатации лифта</w:t>
      </w:r>
      <w:r w:rsidR="00474F7B" w:rsidRPr="00E0161C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F309AD" w:rsidRPr="00F309AD" w:rsidRDefault="002E1B5C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9A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E1B5C" w:rsidRDefault="002E1B5C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669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Условия и возможный срок продления использования лифта определяется на основании оценки соотве</w:t>
      </w:r>
      <w:r w:rsidR="00405B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ствия лифта обязательным требованиям</w:t>
      </w:r>
      <w:r w:rsidR="00405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Техническому регламенту Таможенного союза «Безопасность лифтов»</w:t>
      </w:r>
      <w:r w:rsidR="00405B49">
        <w:rPr>
          <w:rFonts w:ascii="Times New Roman" w:hAnsi="Times New Roman" w:cs="Times New Roman"/>
          <w:sz w:val="28"/>
          <w:szCs w:val="28"/>
        </w:rPr>
        <w:t xml:space="preserve"> ТР ТС 011/2011, вступившего в силу с 15.02.2013.  Согласно п.п. 4, 5 статьи 6 оценка соответствия лифта в течение назначенного строка службы осуществляется в форме техническо</w:t>
      </w:r>
      <w:r w:rsidR="00C375EA">
        <w:rPr>
          <w:rFonts w:ascii="Times New Roman" w:hAnsi="Times New Roman" w:cs="Times New Roman"/>
          <w:sz w:val="28"/>
          <w:szCs w:val="28"/>
        </w:rPr>
        <w:t>г</w:t>
      </w:r>
      <w:r w:rsidR="00405B49">
        <w:rPr>
          <w:rFonts w:ascii="Times New Roman" w:hAnsi="Times New Roman" w:cs="Times New Roman"/>
          <w:sz w:val="28"/>
          <w:szCs w:val="28"/>
        </w:rPr>
        <w:t>о освидетельствования (выдается акт технического освидетельствования), а отработавшего назначенный срок службы –в форме обследования (документация о проведении обследования). Такие работы проводит организация, аккредитованная в порядке, установленном законодательством.</w:t>
      </w:r>
    </w:p>
    <w:p w:rsidR="0020633D" w:rsidRDefault="0020633D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05B49" w:rsidRPr="00E0161C" w:rsidRDefault="003E57C8" w:rsidP="00E016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161C">
        <w:rPr>
          <w:rFonts w:ascii="Times New Roman" w:hAnsi="Times New Roman" w:cs="Times New Roman"/>
          <w:b/>
          <w:i/>
          <w:sz w:val="28"/>
          <w:szCs w:val="28"/>
        </w:rPr>
        <w:t>Какими документами следует руководствоваться при эксплуатации лифтов</w:t>
      </w:r>
      <w:r w:rsidR="00474F7B" w:rsidRPr="00E0161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309AD" w:rsidRPr="00F309AD" w:rsidRDefault="00F309AD" w:rsidP="00F309A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E57C8" w:rsidRDefault="003E57C8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2669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Согласно требованиям </w:t>
      </w:r>
      <w:r w:rsidR="00B36757">
        <w:rPr>
          <w:rFonts w:ascii="Times New Roman" w:hAnsi="Times New Roman" w:cs="Times New Roman"/>
          <w:sz w:val="28"/>
          <w:szCs w:val="28"/>
        </w:rPr>
        <w:t>Технического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Таможенного союза «Безопасность лифтов» ТР ТС 011/2011, вступившего в силу с 15.02.2013</w:t>
      </w:r>
      <w:r w:rsidR="00B36757">
        <w:rPr>
          <w:rFonts w:ascii="Times New Roman" w:hAnsi="Times New Roman" w:cs="Times New Roman"/>
          <w:sz w:val="28"/>
          <w:szCs w:val="28"/>
        </w:rPr>
        <w:t xml:space="preserve">. Каждый лифт, выпускаемый в обращение, </w:t>
      </w:r>
      <w:r>
        <w:rPr>
          <w:rFonts w:ascii="Times New Roman" w:hAnsi="Times New Roman" w:cs="Times New Roman"/>
          <w:sz w:val="28"/>
          <w:szCs w:val="28"/>
        </w:rPr>
        <w:t xml:space="preserve">должен комплектоваться </w:t>
      </w:r>
      <w:r w:rsidR="00B36757">
        <w:rPr>
          <w:rFonts w:ascii="Times New Roman" w:hAnsi="Times New Roman" w:cs="Times New Roman"/>
          <w:sz w:val="28"/>
          <w:szCs w:val="28"/>
        </w:rPr>
        <w:t xml:space="preserve">сопроводительной документацией, в том числе паспортом, руководством (инструкцией) по эксплуатации </w:t>
      </w:r>
      <w:r w:rsidR="00C375EA">
        <w:rPr>
          <w:rFonts w:ascii="Times New Roman" w:hAnsi="Times New Roman" w:cs="Times New Roman"/>
          <w:sz w:val="28"/>
          <w:szCs w:val="28"/>
        </w:rPr>
        <w:t xml:space="preserve">завода </w:t>
      </w:r>
      <w:r w:rsidR="00B36757">
        <w:rPr>
          <w:rFonts w:ascii="Times New Roman" w:hAnsi="Times New Roman" w:cs="Times New Roman"/>
          <w:sz w:val="28"/>
          <w:szCs w:val="28"/>
        </w:rPr>
        <w:t>изготовителя. По истечении наз</w:t>
      </w:r>
      <w:r w:rsidR="00002669">
        <w:rPr>
          <w:rFonts w:ascii="Times New Roman" w:hAnsi="Times New Roman" w:cs="Times New Roman"/>
          <w:sz w:val="28"/>
          <w:szCs w:val="28"/>
        </w:rPr>
        <w:t xml:space="preserve">наченного </w:t>
      </w:r>
      <w:r w:rsidR="00B36757">
        <w:rPr>
          <w:rFonts w:ascii="Times New Roman" w:hAnsi="Times New Roman" w:cs="Times New Roman"/>
          <w:sz w:val="28"/>
          <w:szCs w:val="28"/>
        </w:rPr>
        <w:t>срока службы использование лифта по назначению без документа, подтверждающего проведение оценки соотве</w:t>
      </w:r>
      <w:r w:rsidR="00002669">
        <w:rPr>
          <w:rFonts w:ascii="Times New Roman" w:hAnsi="Times New Roman" w:cs="Times New Roman"/>
          <w:sz w:val="28"/>
          <w:szCs w:val="28"/>
        </w:rPr>
        <w:t>т</w:t>
      </w:r>
      <w:r w:rsidR="00B36757">
        <w:rPr>
          <w:rFonts w:ascii="Times New Roman" w:hAnsi="Times New Roman" w:cs="Times New Roman"/>
          <w:sz w:val="28"/>
          <w:szCs w:val="28"/>
        </w:rPr>
        <w:t>ствия требован</w:t>
      </w:r>
      <w:r w:rsidR="006A2034">
        <w:rPr>
          <w:rFonts w:ascii="Times New Roman" w:hAnsi="Times New Roman" w:cs="Times New Roman"/>
          <w:sz w:val="28"/>
          <w:szCs w:val="28"/>
        </w:rPr>
        <w:t>иям Регламента  не допускается</w:t>
      </w:r>
      <w:r w:rsidR="00B36757">
        <w:rPr>
          <w:rFonts w:ascii="Times New Roman" w:hAnsi="Times New Roman" w:cs="Times New Roman"/>
          <w:sz w:val="28"/>
          <w:szCs w:val="28"/>
        </w:rPr>
        <w:t>.</w:t>
      </w:r>
      <w:r w:rsidR="006A2034">
        <w:rPr>
          <w:rFonts w:ascii="Times New Roman" w:hAnsi="Times New Roman" w:cs="Times New Roman"/>
          <w:sz w:val="28"/>
          <w:szCs w:val="28"/>
        </w:rPr>
        <w:t xml:space="preserve"> Оценка соответствия лифта в течение назначенного срока осуществляется в форме технического освидетельствования, что подтверждается соответствующим актом.</w:t>
      </w:r>
    </w:p>
    <w:p w:rsidR="00B36757" w:rsidRDefault="00B36757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части использования и содержания лифтов в период назначенного срока службы следует руководствоваться Правилами ор</w:t>
      </w:r>
      <w:r w:rsidR="00002669">
        <w:rPr>
          <w:rFonts w:ascii="Times New Roman" w:hAnsi="Times New Roman" w:cs="Times New Roman"/>
          <w:sz w:val="28"/>
          <w:szCs w:val="28"/>
        </w:rPr>
        <w:t>ганизации безопасного использов</w:t>
      </w:r>
      <w:r>
        <w:rPr>
          <w:rFonts w:ascii="Times New Roman" w:hAnsi="Times New Roman" w:cs="Times New Roman"/>
          <w:sz w:val="28"/>
          <w:szCs w:val="28"/>
        </w:rPr>
        <w:t>ания и содержания лифтов, подъемных платформ для инвалидов, пассажирских конвейеров</w:t>
      </w:r>
      <w:r w:rsidR="006A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(движущихся пешеходных дорожек) и эскалаторов, за исключением эскалаторов в метрополитенах, утв. постановлением Правительства РФ от 24.06.2017 № 743.</w:t>
      </w:r>
    </w:p>
    <w:p w:rsidR="00002669" w:rsidRPr="003E57C8" w:rsidRDefault="00002669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1B5C" w:rsidRPr="00E0161C" w:rsidRDefault="00002669" w:rsidP="00E0161C">
      <w:pPr>
        <w:pStyle w:val="a3"/>
        <w:numPr>
          <w:ilvl w:val="0"/>
          <w:numId w:val="11"/>
        </w:numPr>
        <w:spacing w:line="240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61C">
        <w:rPr>
          <w:rFonts w:ascii="Times New Roman" w:hAnsi="Times New Roman" w:cs="Times New Roman"/>
          <w:b/>
          <w:i/>
          <w:sz w:val="28"/>
          <w:szCs w:val="28"/>
        </w:rPr>
        <w:t>Каким образом осуществляется в настоящее время регистрация лифтов в Ростехнадзоре и каков порядок получения разрешения на ввод в эксплуатацию лифта после монтажа</w:t>
      </w:r>
      <w:r w:rsidR="00474F7B" w:rsidRPr="00E0161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309AD" w:rsidRDefault="00F309AD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669" w:rsidRDefault="00002669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669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669">
        <w:rPr>
          <w:rFonts w:ascii="Times New Roman" w:hAnsi="Times New Roman" w:cs="Times New Roman"/>
          <w:sz w:val="28"/>
          <w:szCs w:val="28"/>
        </w:rPr>
        <w:t>Согласно п.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24.06.2017 № 743 «Об организации безопасного использования лифтов,  подъемных платформ для инвалидов, пассажирских конвейеров (движущихся пешеходных дорожек) и </w:t>
      </w:r>
      <w:r>
        <w:rPr>
          <w:rFonts w:ascii="Times New Roman" w:hAnsi="Times New Roman" w:cs="Times New Roman"/>
          <w:sz w:val="28"/>
          <w:szCs w:val="28"/>
        </w:rPr>
        <w:lastRenderedPageBreak/>
        <w:t>эскалаторов, за исключением эскалаторов в метрополитенах</w:t>
      </w:r>
      <w:r w:rsidR="00474F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69FC">
        <w:rPr>
          <w:rFonts w:ascii="Times New Roman" w:hAnsi="Times New Roman" w:cs="Times New Roman"/>
          <w:sz w:val="28"/>
          <w:szCs w:val="28"/>
        </w:rPr>
        <w:t xml:space="preserve">все лифты на которые распространяется действие Правили </w:t>
      </w:r>
      <w:r w:rsidR="00474F7B">
        <w:rPr>
          <w:rFonts w:ascii="Times New Roman" w:hAnsi="Times New Roman" w:cs="Times New Roman"/>
          <w:sz w:val="28"/>
          <w:szCs w:val="28"/>
        </w:rPr>
        <w:t xml:space="preserve">и </w:t>
      </w:r>
      <w:r w:rsidR="003A69FC">
        <w:rPr>
          <w:rFonts w:ascii="Times New Roman" w:hAnsi="Times New Roman" w:cs="Times New Roman"/>
          <w:sz w:val="28"/>
          <w:szCs w:val="28"/>
        </w:rPr>
        <w:t>находящиеся в настоящее время в эксплуатации, подлежат постановке на учет в срок не превышающий 4-х месяцев со дня вступления в силу Правил.</w:t>
      </w:r>
    </w:p>
    <w:p w:rsidR="003A69FC" w:rsidRDefault="003A69FC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6C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Правилами установлен порядок ввода лифтов в эксплуатацию с участием органа государственного контроля после их замены и модернизации. Ввод остальных лифтов</w:t>
      </w:r>
      <w:r w:rsidR="002D3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порядке</w:t>
      </w:r>
      <w:r w:rsidR="00856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РФ</w:t>
      </w:r>
      <w:r w:rsidR="002D398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856CB6" w:rsidRDefault="00856CB6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пунктами 6-9</w:t>
      </w:r>
      <w:r w:rsidR="00474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474F7B">
        <w:rPr>
          <w:rFonts w:ascii="Times New Roman" w:hAnsi="Times New Roman" w:cs="Times New Roman"/>
          <w:sz w:val="28"/>
          <w:szCs w:val="28"/>
        </w:rPr>
        <w:t xml:space="preserve"> владелец лифта </w:t>
      </w:r>
      <w:r>
        <w:rPr>
          <w:rFonts w:ascii="Times New Roman" w:hAnsi="Times New Roman" w:cs="Times New Roman"/>
          <w:sz w:val="28"/>
          <w:szCs w:val="28"/>
        </w:rPr>
        <w:t>направляет уведомление о</w:t>
      </w:r>
      <w:r w:rsidR="0020633D">
        <w:rPr>
          <w:rFonts w:ascii="Times New Roman" w:hAnsi="Times New Roman" w:cs="Times New Roman"/>
          <w:sz w:val="28"/>
          <w:szCs w:val="28"/>
        </w:rPr>
        <w:t xml:space="preserve"> вводе лифта, </w:t>
      </w:r>
      <w:r w:rsidR="00474F7B">
        <w:rPr>
          <w:rFonts w:ascii="Times New Roman" w:hAnsi="Times New Roman" w:cs="Times New Roman"/>
          <w:sz w:val="28"/>
          <w:szCs w:val="28"/>
        </w:rPr>
        <w:t>в течение 10 дней проводит</w:t>
      </w:r>
      <w:r w:rsidR="0020633D">
        <w:rPr>
          <w:rFonts w:ascii="Times New Roman" w:hAnsi="Times New Roman" w:cs="Times New Roman"/>
          <w:sz w:val="28"/>
          <w:szCs w:val="28"/>
        </w:rPr>
        <w:t>ся</w:t>
      </w:r>
      <w:r w:rsidR="00474F7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онтрольный осмотр,</w:t>
      </w:r>
      <w:r w:rsidR="00474F7B">
        <w:rPr>
          <w:rFonts w:ascii="Times New Roman" w:hAnsi="Times New Roman" w:cs="Times New Roman"/>
          <w:sz w:val="28"/>
          <w:szCs w:val="28"/>
        </w:rPr>
        <w:t xml:space="preserve"> при положи</w:t>
      </w:r>
      <w:r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474F7B">
        <w:rPr>
          <w:rFonts w:ascii="Times New Roman" w:hAnsi="Times New Roman" w:cs="Times New Roman"/>
          <w:sz w:val="28"/>
          <w:szCs w:val="28"/>
        </w:rPr>
        <w:t xml:space="preserve">результатах принимает решение, </w:t>
      </w:r>
      <w:r>
        <w:rPr>
          <w:rFonts w:ascii="Times New Roman" w:hAnsi="Times New Roman" w:cs="Times New Roman"/>
          <w:sz w:val="28"/>
          <w:szCs w:val="28"/>
        </w:rPr>
        <w:t>которое оформляе</w:t>
      </w:r>
      <w:r w:rsidR="00474F7B">
        <w:rPr>
          <w:rFonts w:ascii="Times New Roman" w:hAnsi="Times New Roman" w:cs="Times New Roman"/>
          <w:sz w:val="28"/>
          <w:szCs w:val="28"/>
        </w:rPr>
        <w:t>тся в течение 5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D9D" w:rsidRDefault="00E47D9D" w:rsidP="0020633D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09AD" w:rsidRDefault="00F309AD" w:rsidP="00E47D9D">
      <w:pPr>
        <w:spacing w:after="0" w:line="276" w:lineRule="auto"/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D9D" w:rsidRPr="00E0161C" w:rsidRDefault="00E0161C" w:rsidP="00E47D9D">
      <w:pPr>
        <w:pStyle w:val="a4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="00E47D9D" w:rsidRPr="00E47D9D">
        <w:rPr>
          <w:rFonts w:eastAsiaTheme="minorHAnsi"/>
          <w:b/>
          <w:sz w:val="28"/>
          <w:szCs w:val="28"/>
          <w:lang w:eastAsia="en-US"/>
        </w:rPr>
        <w:t>.</w:t>
      </w:r>
      <w:r w:rsidR="00E47D9D">
        <w:rPr>
          <w:rFonts w:eastAsiaTheme="minorHAnsi"/>
          <w:sz w:val="28"/>
          <w:szCs w:val="28"/>
          <w:lang w:eastAsia="en-US"/>
        </w:rPr>
        <w:t xml:space="preserve"> </w:t>
      </w:r>
      <w:r w:rsidR="00E47D9D" w:rsidRPr="00E47D9D">
        <w:rPr>
          <w:rFonts w:eastAsiaTheme="minorHAnsi"/>
          <w:sz w:val="28"/>
          <w:szCs w:val="28"/>
          <w:lang w:eastAsia="en-US"/>
        </w:rPr>
        <w:t xml:space="preserve"> </w:t>
      </w:r>
      <w:r w:rsidR="00E47D9D" w:rsidRPr="00E0161C">
        <w:rPr>
          <w:rFonts w:eastAsiaTheme="minorHAnsi"/>
          <w:b/>
          <w:i/>
          <w:sz w:val="28"/>
          <w:szCs w:val="28"/>
          <w:lang w:eastAsia="en-US"/>
        </w:rPr>
        <w:t xml:space="preserve">Как на стадии проведения ГСН проверяется соответствие зданий, строений и сооружений требованиям энергетической эффективности? Какие документы, расчеты и испытания необходимо предоставить в части подтверждения построенного объекта требованиям энергетической эффективности.  </w:t>
      </w:r>
    </w:p>
    <w:p w:rsidR="00B63588" w:rsidRDefault="00E47D9D" w:rsidP="0020633D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47D9D">
        <w:rPr>
          <w:rFonts w:eastAsiaTheme="minorHAnsi"/>
          <w:b/>
          <w:sz w:val="28"/>
          <w:szCs w:val="28"/>
          <w:lang w:eastAsia="en-US"/>
        </w:rPr>
        <w:t>Ответ:</w:t>
      </w:r>
      <w:r w:rsidRPr="00E47D9D">
        <w:rPr>
          <w:rFonts w:eastAsiaTheme="minorHAnsi"/>
          <w:sz w:val="28"/>
          <w:szCs w:val="28"/>
          <w:lang w:eastAsia="en-US"/>
        </w:rPr>
        <w:t xml:space="preserve"> Частью 8 статьи 11 Федерального закона от 23.11.2009 № 261-ФЗ «Об энергосбережении и о повышении энергетической эффективности», установлено, что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надзора.</w:t>
      </w:r>
    </w:p>
    <w:p w:rsidR="00E47D9D" w:rsidRPr="00E47D9D" w:rsidRDefault="00B63588" w:rsidP="0020633D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47D9D" w:rsidRPr="00E47D9D">
        <w:rPr>
          <w:rFonts w:eastAsiaTheme="minorHAnsi"/>
          <w:sz w:val="28"/>
          <w:szCs w:val="28"/>
          <w:lang w:eastAsia="en-US"/>
        </w:rPr>
        <w:t>При проведении проверок органом государственного строительного надзора проводится контроль соответствия выполняемых работ требованиям проектной документации, в том числе раздела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ресурсов».</w:t>
      </w:r>
    </w:p>
    <w:p w:rsidR="00E47D9D" w:rsidRPr="00E0161C" w:rsidRDefault="00E0161C" w:rsidP="002063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61C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E47D9D" w:rsidRPr="00E0161C">
        <w:rPr>
          <w:rFonts w:ascii="Times New Roman" w:hAnsi="Times New Roman" w:cs="Times New Roman"/>
          <w:b/>
          <w:i/>
          <w:sz w:val="28"/>
          <w:szCs w:val="28"/>
        </w:rPr>
        <w:t xml:space="preserve"> Вправе ли орган государственного строительного надзора после получения уведомления застройщика или технического заказчика о консервации объекта капитального строительства и до получения уведомления о возобновлении строительства (реконструкции) осуществлять государственный строительный надзор.</w:t>
      </w:r>
    </w:p>
    <w:p w:rsidR="00E47D9D" w:rsidRPr="00E47D9D" w:rsidRDefault="00E47D9D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9D">
        <w:rPr>
          <w:rFonts w:ascii="Times New Roman" w:hAnsi="Times New Roman" w:cs="Times New Roman"/>
          <w:b/>
          <w:sz w:val="28"/>
          <w:szCs w:val="28"/>
        </w:rPr>
        <w:t>Ответ:</w:t>
      </w:r>
      <w:r w:rsidRPr="00E47D9D">
        <w:rPr>
          <w:rFonts w:ascii="Times New Roman" w:hAnsi="Times New Roman" w:cs="Times New Roman"/>
          <w:sz w:val="28"/>
          <w:szCs w:val="28"/>
        </w:rPr>
        <w:t xml:space="preserve"> Порядок осуществления государственного строительного надзора установлен Положением об осуществлении государственного строительного надзора в Российской Федерации, утвержденным постановлением Правительства Российской Федерации от 1 февраля 2006 г. № 54.</w:t>
      </w:r>
    </w:p>
    <w:p w:rsidR="00E47D9D" w:rsidRPr="00E47D9D" w:rsidRDefault="00B63588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D9D" w:rsidRPr="00E47D9D">
        <w:rPr>
          <w:rFonts w:ascii="Times New Roman" w:hAnsi="Times New Roman" w:cs="Times New Roman"/>
          <w:sz w:val="28"/>
          <w:szCs w:val="28"/>
        </w:rPr>
        <w:t>Согласно части 4 статьи 52 Градостроительного кодекса Российской Федерации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строительства.</w:t>
      </w:r>
    </w:p>
    <w:p w:rsidR="00E47D9D" w:rsidRPr="00E47D9D" w:rsidRDefault="00B63588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47D9D" w:rsidRPr="00E47D9D">
        <w:rPr>
          <w:rFonts w:ascii="Times New Roman" w:hAnsi="Times New Roman" w:cs="Times New Roman"/>
          <w:sz w:val="28"/>
          <w:szCs w:val="28"/>
        </w:rPr>
        <w:t>Порядок проведения консервации объекта капитального строительства определен Правилами проведения консервации объекта капитального строительства (далее - Правила), утвержденными постановлением Правительства Российской Федерации от 30 сентября 2011 № 802.</w:t>
      </w:r>
    </w:p>
    <w:p w:rsidR="00E47D9D" w:rsidRDefault="00B63588" w:rsidP="0020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7D9D" w:rsidRPr="00E47D9D">
        <w:rPr>
          <w:rFonts w:ascii="Times New Roman" w:hAnsi="Times New Roman" w:cs="Times New Roman"/>
          <w:sz w:val="28"/>
          <w:szCs w:val="28"/>
        </w:rPr>
        <w:t>В соответствии с пунктом 10 Правил застройщик (заказчик) в течение 10 календарных дней после принятия решения о консервации объекта</w:t>
      </w:r>
      <w:r w:rsidR="00E47D9D">
        <w:rPr>
          <w:rFonts w:ascii="Times New Roman" w:hAnsi="Times New Roman" w:cs="Times New Roman"/>
          <w:sz w:val="28"/>
          <w:szCs w:val="28"/>
        </w:rPr>
        <w:t xml:space="preserve"> </w:t>
      </w:r>
      <w:r w:rsidR="00E47D9D" w:rsidRPr="00E47D9D">
        <w:rPr>
          <w:rFonts w:ascii="Times New Roman" w:hAnsi="Times New Roman" w:cs="Times New Roman"/>
          <w:sz w:val="28"/>
          <w:szCs w:val="28"/>
        </w:rPr>
        <w:t xml:space="preserve">уведомляет об этом </w:t>
      </w:r>
      <w:r w:rsidR="00E47D9D">
        <w:rPr>
          <w:rFonts w:ascii="Times New Roman" w:hAnsi="Times New Roman" w:cs="Times New Roman"/>
          <w:sz w:val="28"/>
          <w:szCs w:val="28"/>
        </w:rPr>
        <w:t xml:space="preserve"> </w:t>
      </w:r>
      <w:r w:rsidR="00E47D9D" w:rsidRPr="00E47D9D">
        <w:rPr>
          <w:rFonts w:ascii="Times New Roman" w:hAnsi="Times New Roman" w:cs="Times New Roman"/>
          <w:sz w:val="28"/>
          <w:szCs w:val="28"/>
        </w:rPr>
        <w:t>орган государственного строительного надзора</w:t>
      </w:r>
      <w:r w:rsidR="00E47D9D">
        <w:rPr>
          <w:rFonts w:ascii="Times New Roman" w:hAnsi="Times New Roman" w:cs="Times New Roman"/>
          <w:sz w:val="28"/>
          <w:szCs w:val="28"/>
        </w:rPr>
        <w:t>.</w:t>
      </w:r>
      <w:r w:rsidR="00E47D9D" w:rsidRPr="00E47D9D">
        <w:rPr>
          <w:rFonts w:ascii="Times New Roman" w:hAnsi="Times New Roman" w:cs="Times New Roman"/>
          <w:sz w:val="28"/>
          <w:szCs w:val="28"/>
        </w:rPr>
        <w:t xml:space="preserve"> </w:t>
      </w:r>
      <w:r w:rsidR="00E47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9D" w:rsidRPr="00E47D9D" w:rsidRDefault="00E47D9D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D9D">
        <w:rPr>
          <w:rFonts w:ascii="Times New Roman" w:hAnsi="Times New Roman" w:cs="Times New Roman"/>
          <w:sz w:val="28"/>
          <w:szCs w:val="28"/>
        </w:rPr>
        <w:t xml:space="preserve">Указанными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E47D9D">
        <w:rPr>
          <w:rFonts w:ascii="Times New Roman" w:hAnsi="Times New Roman" w:cs="Times New Roman"/>
          <w:sz w:val="28"/>
          <w:szCs w:val="28"/>
        </w:rPr>
        <w:t>нормативными актами осуществление государственного строительного надзора на законсервированных объектах не предусмотрено.</w:t>
      </w:r>
    </w:p>
    <w:p w:rsidR="00E47D9D" w:rsidRPr="00E0161C" w:rsidRDefault="00E0161C" w:rsidP="0020633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96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F6967" w:rsidRPr="00EF696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E0161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7D9D" w:rsidRPr="00E0161C">
        <w:rPr>
          <w:rFonts w:ascii="Times New Roman" w:hAnsi="Times New Roman" w:cs="Times New Roman"/>
          <w:b/>
          <w:i/>
          <w:sz w:val="28"/>
          <w:szCs w:val="28"/>
        </w:rPr>
        <w:t xml:space="preserve">  В связи с вступлением в действие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Российской Федерации» и отменой свидетельств СРО, что необходимо указывать в исполнительной документации?</w:t>
      </w:r>
    </w:p>
    <w:p w:rsidR="00E47D9D" w:rsidRDefault="00E47D9D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D8">
        <w:rPr>
          <w:rFonts w:ascii="Times New Roman" w:hAnsi="Times New Roman" w:cs="Times New Roman"/>
          <w:sz w:val="28"/>
          <w:szCs w:val="28"/>
        </w:rPr>
        <w:t>Ответ:</w:t>
      </w:r>
      <w:r w:rsidRPr="00E47D9D">
        <w:rPr>
          <w:rFonts w:ascii="Times New Roman" w:hAnsi="Times New Roman" w:cs="Times New Roman"/>
          <w:sz w:val="28"/>
          <w:szCs w:val="28"/>
        </w:rPr>
        <w:t xml:space="preserve"> В соответствующих графах актов освидетельствования скрытых работ юридическим лицом указывается ОГРН и ИНН саморегулируемой организации, членом которой оно является.</w:t>
      </w: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967" w:rsidRPr="0016794C" w:rsidRDefault="00EF6967" w:rsidP="00EF69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94C" w:rsidRPr="0016794C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16794C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Регламентирован ли срок действия разработанного в организации Порядка расследования причин инцидентов на опасном производственном объекте и утвержденного установленным образом?</w:t>
      </w:r>
    </w:p>
    <w:p w:rsidR="00EF6967" w:rsidRDefault="00EF6967" w:rsidP="00E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Срок действия документации, регламентирующей расследование причин инцидентов на опасных производственных объектах и гидротехнических сооружениях, их учет и анализ в Порядке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утвержденном приказом Ростехнадзора от 19 августа 2011 г. № 480, не конкретизирован и оставлен на усмотрение организации, </w:t>
      </w:r>
    </w:p>
    <w:p w:rsidR="00EF6967" w:rsidRDefault="00EF6967" w:rsidP="00E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F6967" w:rsidRPr="0016794C" w:rsidRDefault="0016794C" w:rsidP="00EF69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794C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EF6967" w:rsidRPr="0016794C">
        <w:rPr>
          <w:rFonts w:ascii="Times New Roman" w:hAnsi="Times New Roman" w:cs="Times New Roman"/>
          <w:b/>
          <w:i/>
          <w:sz w:val="28"/>
          <w:szCs w:val="28"/>
        </w:rPr>
        <w:t xml:space="preserve"> В какой срок проходят регистрацию общие и специальные журналы работ?</w:t>
      </w:r>
    </w:p>
    <w:p w:rsidR="00EF6967" w:rsidRDefault="00EF6967" w:rsidP="00E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Сроки регистрации журналов не регламентированы нормативными документами. Регистрация общих и специальных журналов работ осуществляется при личном обращении к должностному лицу, курирующему объект капитального строительства.</w:t>
      </w:r>
    </w:p>
    <w:p w:rsidR="00EF6967" w:rsidRPr="0016794C" w:rsidRDefault="0016794C" w:rsidP="00EF69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794C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="00EF6967" w:rsidRPr="0016794C">
        <w:rPr>
          <w:rFonts w:ascii="Times New Roman" w:hAnsi="Times New Roman" w:cs="Times New Roman"/>
          <w:b/>
          <w:i/>
          <w:sz w:val="28"/>
          <w:szCs w:val="28"/>
        </w:rPr>
        <w:t xml:space="preserve"> Должен ли быть аттестован по промышленной безопасности руководитель организации, если обязанности по организации и осуществлению производственного контроля возложены на других лиц, имеющих соответствующую аттестацию?</w:t>
      </w:r>
    </w:p>
    <w:p w:rsidR="00EF6967" w:rsidRDefault="00EF6967" w:rsidP="00E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В соответствии с Положением об организации работы по подготовке и аттестации специалистов организаций, поднадзорных Ростехнадзору, утв. приказом Ростехнадзора от 29.01.2007 №37, аттестация по вопросам безопасности проводится в объёме, соответствующем должностным обязанностям, которые определяются каждой организацией самостоятельно.</w:t>
      </w:r>
    </w:p>
    <w:p w:rsidR="00EF6967" w:rsidRDefault="00EF6967" w:rsidP="00EF6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должностные обязанности руководителя организации, поднадзорной Ростехнадзору, не входят вопросы обеспечения промышленной безопасности, предусмотренные специальными требованиями промышленной безопасности, то достаточно пройти аттестацию на знание общих требований промышленной безопасности.</w:t>
      </w: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8" w:rsidRPr="00BB59D8" w:rsidRDefault="00BB59D8" w:rsidP="000058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B59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 Порядок прохождения повторной федеральной государственной экспертизы проектной документации после внесения в нее изменений?</w:t>
      </w:r>
    </w:p>
    <w:p w:rsidR="00BB59D8" w:rsidRDefault="00BB59D8" w:rsidP="000058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44 Положения об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проведении государственной экспертизы проектной документации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результатов инженерных изысканий, утвержденного постановлением Правительства Российской Федерации от 05.03.2007 № 145, проектная документация, получившая положительное заключение государственной экспертизы, в которую внесены изменения технических решений, влияющие на конструктивную надежность и безопасность объекта капитального строительства, направляется на повторную государственную экспертизу.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соответствии с частью 3.5 статьи 49 Градостроительного кодекса Российской Федерации подтверждением того, что изменения, внесенные в проектную документацию после получения положительного заключения экспертизы,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затрагивают вышеупомянутые характеристики объекта капитального строительства, является заключение органа исполнительной власти или организации, проводивших экспертизу проектной документации, в которую внесены изменения. В связи с тем, что порядок подготовки указанных заключений, включая форму обращения заявителя и состав представляемой проектной документации, в настоящее время не установлен, откорректированная проектная документация по инициативе застройщика или технического заказчика может быть направлена на повторную государственную экспертизу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случае внесения в нее изменений в части технических решений, которые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влияют на конструктивную надежность и безопасность объекта капитального строительства, руководствуясь при этом приказом министерства регионального развития от 30.12.2009 №624 «Об утверждении Перечня видов работ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инженерным изысканиям, по подготовке проектной документации,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</w:r>
    </w:p>
    <w:p w:rsidR="00BB59D8" w:rsidRDefault="00BB59D8" w:rsidP="000058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9D8" w:rsidRPr="00BB59D8" w:rsidRDefault="00BB59D8" w:rsidP="000058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15. </w:t>
      </w:r>
      <w:r w:rsidRPr="00BB59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Является ли реконструкцией объекта капитального строительства установка лифта снаружи, либо внутри здания?</w:t>
      </w:r>
    </w:p>
    <w:p w:rsidR="00BB59D8" w:rsidRDefault="00BB59D8" w:rsidP="000058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Реконструкцией объекта капитального строительства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(за исключением линейных объектов) является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за исключением замены отдельных элементов таких конструкций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аналогичные или иные улучшающие показатели таких конструкций элементы и (или) восстановления указанных элементов. Таким образом установка лифта снаружи здания увеличивает площадь и объем здания, что по сути является расширением здания. Устройство лифта внутри здания затрагивает несущие строительные конструкции здания, в связи с чем требуется их замена. </w:t>
      </w:r>
    </w:p>
    <w:p w:rsidR="00BB59D8" w:rsidRDefault="00BB59D8" w:rsidP="000058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изложенного при установке лифта снаружи или внутри здания необходимо проводить реконструкцию объекта капитального строительства.</w:t>
      </w:r>
    </w:p>
    <w:p w:rsidR="006D3742" w:rsidRDefault="006D3742" w:rsidP="00005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42" w:rsidRPr="00E47D9D" w:rsidRDefault="006D3742" w:rsidP="002063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742" w:rsidRPr="00E47D9D" w:rsidSect="004D2C3F">
      <w:pgSz w:w="11906" w:h="16838"/>
      <w:pgMar w:top="709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FD5"/>
    <w:multiLevelType w:val="hybridMultilevel"/>
    <w:tmpl w:val="A8F8BD30"/>
    <w:lvl w:ilvl="0" w:tplc="EDA4376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E96F1F"/>
    <w:multiLevelType w:val="hybridMultilevel"/>
    <w:tmpl w:val="2BC0B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6F2B"/>
    <w:multiLevelType w:val="hybridMultilevel"/>
    <w:tmpl w:val="2A9642D2"/>
    <w:lvl w:ilvl="0" w:tplc="DDC6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CA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CC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2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C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0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3A368A"/>
    <w:multiLevelType w:val="hybridMultilevel"/>
    <w:tmpl w:val="DD8E33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A5B58"/>
    <w:multiLevelType w:val="hybridMultilevel"/>
    <w:tmpl w:val="0A1A0A4E"/>
    <w:lvl w:ilvl="0" w:tplc="2A24F8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C4C5E"/>
    <w:multiLevelType w:val="hybridMultilevel"/>
    <w:tmpl w:val="66F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4D8E"/>
    <w:multiLevelType w:val="hybridMultilevel"/>
    <w:tmpl w:val="F4C24398"/>
    <w:lvl w:ilvl="0" w:tplc="76A0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A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C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B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3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88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8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A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886DDF"/>
    <w:multiLevelType w:val="hybridMultilevel"/>
    <w:tmpl w:val="21066890"/>
    <w:lvl w:ilvl="0" w:tplc="4D5C4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D7938"/>
    <w:multiLevelType w:val="hybridMultilevel"/>
    <w:tmpl w:val="458A2694"/>
    <w:lvl w:ilvl="0" w:tplc="4406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40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4A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C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6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7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6C4570"/>
    <w:multiLevelType w:val="hybridMultilevel"/>
    <w:tmpl w:val="AD0AE946"/>
    <w:lvl w:ilvl="0" w:tplc="B34C0B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903802"/>
    <w:multiLevelType w:val="hybridMultilevel"/>
    <w:tmpl w:val="D9F2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6D7F"/>
    <w:rsid w:val="00002669"/>
    <w:rsid w:val="000032C1"/>
    <w:rsid w:val="0000587A"/>
    <w:rsid w:val="000A53E7"/>
    <w:rsid w:val="0010057E"/>
    <w:rsid w:val="0016794C"/>
    <w:rsid w:val="00195F19"/>
    <w:rsid w:val="001C71CA"/>
    <w:rsid w:val="0020633D"/>
    <w:rsid w:val="00250BC0"/>
    <w:rsid w:val="0028611A"/>
    <w:rsid w:val="002D398E"/>
    <w:rsid w:val="002E1B5C"/>
    <w:rsid w:val="003208FB"/>
    <w:rsid w:val="00330DBD"/>
    <w:rsid w:val="00383EE8"/>
    <w:rsid w:val="00392915"/>
    <w:rsid w:val="003A69FC"/>
    <w:rsid w:val="003E1CA5"/>
    <w:rsid w:val="003E57C8"/>
    <w:rsid w:val="00405B49"/>
    <w:rsid w:val="00406D7F"/>
    <w:rsid w:val="004204E4"/>
    <w:rsid w:val="00440795"/>
    <w:rsid w:val="00440E50"/>
    <w:rsid w:val="004509C1"/>
    <w:rsid w:val="00474F7B"/>
    <w:rsid w:val="004829DB"/>
    <w:rsid w:val="00484E10"/>
    <w:rsid w:val="00493EF4"/>
    <w:rsid w:val="004C72AA"/>
    <w:rsid w:val="004D2C3F"/>
    <w:rsid w:val="004D5671"/>
    <w:rsid w:val="005C1E94"/>
    <w:rsid w:val="005D5A72"/>
    <w:rsid w:val="00613326"/>
    <w:rsid w:val="00613369"/>
    <w:rsid w:val="006A2034"/>
    <w:rsid w:val="006A3DEB"/>
    <w:rsid w:val="006D3742"/>
    <w:rsid w:val="007A5A5C"/>
    <w:rsid w:val="007D4FE8"/>
    <w:rsid w:val="008233DD"/>
    <w:rsid w:val="00850F62"/>
    <w:rsid w:val="00856CB6"/>
    <w:rsid w:val="00864942"/>
    <w:rsid w:val="00900A36"/>
    <w:rsid w:val="00974432"/>
    <w:rsid w:val="009772C5"/>
    <w:rsid w:val="00985688"/>
    <w:rsid w:val="009E03CE"/>
    <w:rsid w:val="00A85FBE"/>
    <w:rsid w:val="00AA2B47"/>
    <w:rsid w:val="00AE4D4E"/>
    <w:rsid w:val="00B36757"/>
    <w:rsid w:val="00B44E74"/>
    <w:rsid w:val="00B52AAB"/>
    <w:rsid w:val="00B63588"/>
    <w:rsid w:val="00B9463E"/>
    <w:rsid w:val="00BB59D8"/>
    <w:rsid w:val="00BD63D2"/>
    <w:rsid w:val="00C27F89"/>
    <w:rsid w:val="00C375EA"/>
    <w:rsid w:val="00C410D3"/>
    <w:rsid w:val="00C834E2"/>
    <w:rsid w:val="00D52458"/>
    <w:rsid w:val="00D65463"/>
    <w:rsid w:val="00D74B12"/>
    <w:rsid w:val="00DC523B"/>
    <w:rsid w:val="00DC79F3"/>
    <w:rsid w:val="00DF1D80"/>
    <w:rsid w:val="00E0161C"/>
    <w:rsid w:val="00E16C1B"/>
    <w:rsid w:val="00E47D9D"/>
    <w:rsid w:val="00E96369"/>
    <w:rsid w:val="00EF6967"/>
    <w:rsid w:val="00F309AD"/>
    <w:rsid w:val="00F4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5"/>
  </w:style>
  <w:style w:type="paragraph" w:styleId="1">
    <w:name w:val="heading 1"/>
    <w:basedOn w:val="a"/>
    <w:link w:val="10"/>
    <w:uiPriority w:val="9"/>
    <w:qFormat/>
    <w:rsid w:val="00003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5463"/>
    <w:rPr>
      <w:b/>
      <w:bCs/>
    </w:rPr>
  </w:style>
  <w:style w:type="paragraph" w:customStyle="1" w:styleId="headertext">
    <w:name w:val="headertext"/>
    <w:basedOn w:val="a"/>
    <w:rsid w:val="00E9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TOP">
    <w:name w:val="#COL_TOP"/>
    <w:uiPriority w:val="99"/>
    <w:rsid w:val="00E9636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85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5370-66F2-46F4-A551-23106FD8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Татьяна Михайловна</dc:creator>
  <cp:lastModifiedBy>a.vlasov</cp:lastModifiedBy>
  <cp:revision>8</cp:revision>
  <cp:lastPrinted>2018-11-01T10:11:00Z</cp:lastPrinted>
  <dcterms:created xsi:type="dcterms:W3CDTF">2018-11-08T06:11:00Z</dcterms:created>
  <dcterms:modified xsi:type="dcterms:W3CDTF">2018-11-08T07:52:00Z</dcterms:modified>
</cp:coreProperties>
</file>